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B9064" w14:textId="3A43F12C" w:rsidR="006F1CF8" w:rsidRDefault="00AE657C" w:rsidP="006F1CF8">
      <w:pPr>
        <w:spacing w:afterLines="0"/>
        <w:jc w:val="right"/>
        <w:rPr>
          <w:rFonts w:eastAsia="Times New Roman" w:cs="Times New Roman"/>
          <w:kern w:val="0"/>
          <w:szCs w:val="26"/>
          <w14:ligatures w14:val="none"/>
        </w:rPr>
      </w:pPr>
      <w:bookmarkStart w:id="0" w:name="_Hlk174724155"/>
      <w:bookmarkStart w:id="1" w:name="_Hlk174724679"/>
      <w:r>
        <w:rPr>
          <w:rFonts w:eastAsia="Times New Roman" w:cs="Times New Roman"/>
          <w:noProof/>
          <w:kern w:val="0"/>
          <w:szCs w:val="26"/>
        </w:rPr>
        <w:drawing>
          <wp:inline distT="0" distB="0" distL="0" distR="0" wp14:anchorId="5B880138" wp14:editId="71DD29C4">
            <wp:extent cx="5731510" cy="3003550"/>
            <wp:effectExtent l="0" t="0" r="2540" b="6350"/>
            <wp:docPr id="1974300549" name="Hình ảnh 1" descr="Ảnh có chứa văn phòng phẩm, công cụ, đồ điện tử, dây cáp&#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00549" name="Hình ảnh 1" descr="Ảnh có chứa văn phòng phẩm, công cụ, đồ điện tử, dây cáp&#10;&#10;Mô tả được tạo tự động"/>
                    <pic:cNvPicPr/>
                  </pic:nvPicPr>
                  <pic:blipFill>
                    <a:blip r:embed="rId7">
                      <a:extLst>
                        <a:ext uri="{28A0092B-C50C-407E-A947-70E740481C1C}">
                          <a14:useLocalDpi xmlns:a14="http://schemas.microsoft.com/office/drawing/2010/main" val="0"/>
                        </a:ext>
                      </a:extLst>
                    </a:blip>
                    <a:stretch>
                      <a:fillRect/>
                    </a:stretch>
                  </pic:blipFill>
                  <pic:spPr>
                    <a:xfrm>
                      <a:off x="0" y="0"/>
                      <a:ext cx="5731510" cy="3003550"/>
                    </a:xfrm>
                    <a:prstGeom prst="rect">
                      <a:avLst/>
                    </a:prstGeom>
                  </pic:spPr>
                </pic:pic>
              </a:graphicData>
            </a:graphic>
          </wp:inline>
        </w:drawing>
      </w:r>
    </w:p>
    <w:p w14:paraId="4F50BD09" w14:textId="02BA318D" w:rsidR="006F1CF8" w:rsidRDefault="006F1CF8" w:rsidP="006F1CF8">
      <w:pPr>
        <w:spacing w:afterLines="0"/>
        <w:jc w:val="right"/>
        <w:rPr>
          <w:rFonts w:eastAsia="Times New Roman" w:cs="Times New Roman"/>
          <w:kern w:val="0"/>
          <w:szCs w:val="26"/>
          <w14:ligatures w14:val="none"/>
        </w:rPr>
      </w:pPr>
      <w:r>
        <w:rPr>
          <w:rFonts w:eastAsia="Times New Roman" w:cs="Times New Roman"/>
          <w:kern w:val="0"/>
          <w:szCs w:val="26"/>
          <w14:ligatures w14:val="none"/>
        </w:rPr>
        <w:t>BS. Phạm Minh Trí – Khoa Hồi sức tích cực – chống độc</w:t>
      </w:r>
    </w:p>
    <w:p w14:paraId="3CD90204" w14:textId="77777777" w:rsidR="006F1CF8" w:rsidRPr="006F1CF8" w:rsidRDefault="006F1CF8" w:rsidP="006F1CF8">
      <w:pPr>
        <w:spacing w:afterLines="0"/>
        <w:rPr>
          <w:rFonts w:eastAsia="Times New Roman" w:cs="Times New Roman"/>
          <w:b/>
          <w:bCs/>
          <w:kern w:val="0"/>
          <w:sz w:val="28"/>
          <w:szCs w:val="28"/>
          <w14:ligatures w14:val="none"/>
        </w:rPr>
      </w:pPr>
      <w:r w:rsidRPr="006F1CF8">
        <w:rPr>
          <w:rFonts w:eastAsia="Times New Roman" w:cs="Times New Roman"/>
          <w:b/>
          <w:bCs/>
          <w:kern w:val="0"/>
          <w:sz w:val="28"/>
          <w:szCs w:val="28"/>
          <w14:ligatures w14:val="none"/>
        </w:rPr>
        <w:t>BÀI 3: LUẬT BẢO HIỂM Y TẾ</w:t>
      </w:r>
    </w:p>
    <w:p w14:paraId="7BF19AB2" w14:textId="6FB27AA4" w:rsidR="006F1CF8" w:rsidRPr="006F1CF8" w:rsidRDefault="006F1CF8" w:rsidP="006F1CF8">
      <w:pPr>
        <w:spacing w:afterLines="0"/>
        <w:rPr>
          <w:szCs w:val="26"/>
        </w:rPr>
      </w:pPr>
      <w:r w:rsidRPr="006F1CF8">
        <w:rPr>
          <w:rFonts w:eastAsia="Times New Roman" w:cs="Times New Roman"/>
          <w:kern w:val="0"/>
          <w:szCs w:val="26"/>
          <w14:ligatures w14:val="none"/>
        </w:rPr>
        <w:t xml:space="preserve">Dưới đây là tóm tắt chi tiết </w:t>
      </w:r>
      <w:r w:rsidR="00AE657C">
        <w:rPr>
          <w:rFonts w:eastAsia="Times New Roman" w:cs="Times New Roman"/>
          <w:kern w:val="0"/>
          <w:szCs w:val="26"/>
          <w14:ligatures w14:val="none"/>
        </w:rPr>
        <w:t xml:space="preserve">của </w:t>
      </w:r>
      <w:r w:rsidRPr="006F1CF8">
        <w:rPr>
          <w:rFonts w:eastAsia="Times New Roman" w:cs="Times New Roman"/>
          <w:kern w:val="0"/>
          <w:szCs w:val="26"/>
          <w14:ligatures w14:val="none"/>
        </w:rPr>
        <w:t xml:space="preserve">2 văn bản luật về Bảo hiểm y tế, gồm </w:t>
      </w:r>
      <w:r w:rsidRPr="003716A1">
        <w:rPr>
          <w:rFonts w:eastAsia="Times New Roman" w:cs="Times New Roman"/>
          <w:kern w:val="0"/>
          <w:szCs w:val="26"/>
          <w14:ligatures w14:val="none"/>
        </w:rPr>
        <w:t>Luật bảo hiểm y tế số 25/2008/QH12</w:t>
      </w:r>
      <w:r>
        <w:rPr>
          <w:rFonts w:eastAsia="Times New Roman" w:cs="Times New Roman"/>
          <w:kern w:val="0"/>
          <w:szCs w:val="26"/>
          <w14:ligatures w14:val="none"/>
        </w:rPr>
        <w:t xml:space="preserve"> </w:t>
      </w:r>
      <w:r w:rsidRPr="006F1CF8">
        <w:rPr>
          <w:rFonts w:eastAsia="Times New Roman" w:cs="Times New Roman"/>
          <w:kern w:val="0"/>
          <w:szCs w:val="26"/>
          <w14:ligatures w14:val="none"/>
        </w:rPr>
        <w:t>và</w:t>
      </w:r>
      <w:r>
        <w:rPr>
          <w:rFonts w:eastAsia="Times New Roman" w:cs="Times New Roman"/>
          <w:kern w:val="0"/>
          <w:szCs w:val="26"/>
          <w14:ligatures w14:val="none"/>
        </w:rPr>
        <w:t xml:space="preserve"> </w:t>
      </w:r>
      <w:r w:rsidRPr="006F1CF8">
        <w:rPr>
          <w:szCs w:val="26"/>
        </w:rPr>
        <w:t>Luật sửa đổi, bổ sung một số điều của Luật bảo hiểm y tế số 46/2014/QH13</w:t>
      </w:r>
      <w:r>
        <w:rPr>
          <w:szCs w:val="26"/>
        </w:rPr>
        <w:t>.</w:t>
      </w:r>
    </w:p>
    <w:p w14:paraId="49805712" w14:textId="306FE27E" w:rsidR="003716A1" w:rsidRPr="003716A1" w:rsidRDefault="003716A1" w:rsidP="006F1CF8">
      <w:pPr>
        <w:spacing w:afterLines="0"/>
        <w:rPr>
          <w:rFonts w:eastAsia="Times New Roman" w:cs="Times New Roman"/>
          <w:b/>
          <w:bCs/>
          <w:i/>
          <w:iCs/>
          <w:kern w:val="0"/>
          <w:sz w:val="36"/>
          <w:szCs w:val="36"/>
          <w14:ligatures w14:val="none"/>
        </w:rPr>
      </w:pPr>
      <w:r w:rsidRPr="003716A1">
        <w:rPr>
          <w:rFonts w:eastAsia="Times New Roman" w:cs="Times New Roman"/>
          <w:b/>
          <w:bCs/>
          <w:i/>
          <w:iCs/>
          <w:kern w:val="0"/>
          <w:sz w:val="36"/>
          <w:szCs w:val="36"/>
          <w14:ligatures w14:val="none"/>
        </w:rPr>
        <w:t xml:space="preserve">Luật bảo hiểm y tế số 25/2008/QH12  </w:t>
      </w:r>
    </w:p>
    <w:p w14:paraId="5F7FAB73" w14:textId="0052DA83" w:rsidR="003716A1" w:rsidRPr="003716A1" w:rsidRDefault="003716A1" w:rsidP="006F1CF8">
      <w:pPr>
        <w:spacing w:afterLines="0"/>
        <w:rPr>
          <w:rFonts w:eastAsia="Times New Roman" w:cs="Times New Roman"/>
          <w:b/>
          <w:bCs/>
          <w:i/>
          <w:iCs/>
          <w:kern w:val="0"/>
          <w:szCs w:val="26"/>
          <w14:ligatures w14:val="none"/>
        </w:rPr>
      </w:pPr>
      <w:r w:rsidRPr="003716A1">
        <w:rPr>
          <w:rFonts w:eastAsia="Times New Roman" w:cs="Times New Roman"/>
          <w:b/>
          <w:bCs/>
          <w:i/>
          <w:iCs/>
          <w:kern w:val="0"/>
          <w:szCs w:val="26"/>
          <w14:ligatures w14:val="none"/>
        </w:rPr>
        <w:t xml:space="preserve">1. Phạm vi điều chỉnh và đối tượng áp dụng  </w:t>
      </w:r>
    </w:p>
    <w:p w14:paraId="1D5A87FB" w14:textId="1FAA3353"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Luật này quy định về các chế độ, chính sách bảo hiểm y tế bao gồm đối tượng tham gia, mức đóng, trách nhiệm, phương thức đóng bảo hiểm, thẻ bảo hiểm y tế, phạm vi hưởng bảo hiểm, tổ chức khám chữa bệnh, thanh toán chi phí khám chữa bệnh và quản lý quỹ bảo hiểm y tế </w:t>
      </w:r>
    </w:p>
    <w:p w14:paraId="27230F7D" w14:textId="77777777"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Áp dụng cho cá nhân, tổ chức trong và ngoài nước liên quan đến bảo hiểm y tế</w:t>
      </w:r>
    </w:p>
    <w:p w14:paraId="7D4CC8E5" w14:textId="7EAE0806"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Luật không áp dụng đối với bảo hiểm y tế mang tính kinh doanh</w:t>
      </w:r>
    </w:p>
    <w:p w14:paraId="684029B6" w14:textId="05958F16" w:rsidR="003716A1" w:rsidRPr="006F1CF8" w:rsidRDefault="003716A1" w:rsidP="006F1CF8">
      <w:pPr>
        <w:spacing w:afterLines="0"/>
        <w:rPr>
          <w:rFonts w:eastAsia="Times New Roman" w:cs="Times New Roman"/>
          <w:kern w:val="0"/>
          <w:szCs w:val="26"/>
          <w14:ligatures w14:val="none"/>
        </w:rPr>
      </w:pPr>
      <w:r w:rsidRPr="003716A1">
        <w:rPr>
          <w:rFonts w:eastAsia="Times New Roman" w:cs="Times New Roman"/>
          <w:b/>
          <w:bCs/>
          <w:i/>
          <w:iCs/>
          <w:kern w:val="0"/>
          <w:szCs w:val="26"/>
          <w14:ligatures w14:val="none"/>
        </w:rPr>
        <w:t>2. Định nghĩa cơ bản</w:t>
      </w:r>
      <w:r w:rsidRPr="003716A1">
        <w:rPr>
          <w:rFonts w:eastAsia="Times New Roman" w:cs="Times New Roman"/>
          <w:kern w:val="0"/>
          <w:szCs w:val="26"/>
          <w14:ligatures w14:val="none"/>
        </w:rPr>
        <w:t xml:space="preserve">    </w:t>
      </w:r>
    </w:p>
    <w:p w14:paraId="3F76A07C" w14:textId="2A055447"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Bảo hiểm y tế: Là hình thức bảo hiểm chăm sóc sức khỏe, do Nhà nước tổ chức thực hiện, không có mục đích lợi nhuận</w:t>
      </w:r>
      <w:r>
        <w:rPr>
          <w:rFonts w:eastAsia="Times New Roman" w:cs="Times New Roman"/>
          <w:kern w:val="0"/>
          <w:szCs w:val="26"/>
          <w14:ligatures w14:val="none"/>
        </w:rPr>
        <w:t>.</w:t>
      </w:r>
      <w:r w:rsidRPr="003716A1">
        <w:rPr>
          <w:rFonts w:eastAsia="Times New Roman" w:cs="Times New Roman"/>
          <w:kern w:val="0"/>
          <w:szCs w:val="26"/>
          <w14:ligatures w14:val="none"/>
        </w:rPr>
        <w:t xml:space="preserve"> </w:t>
      </w:r>
    </w:p>
    <w:p w14:paraId="65B9140D" w14:textId="543473CE"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Bảo hiểm y tế toàn dân: Tất cả đối tượng đều tham gia bảo hiểm theo quy định.    </w:t>
      </w:r>
    </w:p>
    <w:p w14:paraId="4B9F39B7" w14:textId="297EE875"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lastRenderedPageBreak/>
        <w:t>- Quỹ bảo hiểm y tế: Quỹ tài chính được hình thành từ nguồn đóng bảo hiểm, dùng để chi trả chi phí y tế cho người tham gia</w:t>
      </w:r>
      <w:r>
        <w:rPr>
          <w:rFonts w:eastAsia="Times New Roman" w:cs="Times New Roman"/>
          <w:kern w:val="0"/>
          <w:szCs w:val="26"/>
          <w14:ligatures w14:val="none"/>
        </w:rPr>
        <w:t>.</w:t>
      </w:r>
    </w:p>
    <w:p w14:paraId="1CD225FA" w14:textId="45AE09DB" w:rsidR="003716A1" w:rsidRPr="006F1CF8" w:rsidRDefault="003716A1" w:rsidP="006F1CF8">
      <w:pPr>
        <w:spacing w:afterLines="0"/>
        <w:rPr>
          <w:rFonts w:eastAsia="Times New Roman" w:cs="Times New Roman"/>
          <w:kern w:val="0"/>
          <w:szCs w:val="26"/>
          <w14:ligatures w14:val="none"/>
        </w:rPr>
      </w:pPr>
      <w:r w:rsidRPr="003716A1">
        <w:rPr>
          <w:rFonts w:eastAsia="Times New Roman" w:cs="Times New Roman"/>
          <w:b/>
          <w:bCs/>
          <w:i/>
          <w:iCs/>
          <w:kern w:val="0"/>
          <w:szCs w:val="26"/>
          <w14:ligatures w14:val="none"/>
        </w:rPr>
        <w:t xml:space="preserve">3. Nguyên tắc của bảo hiểm y tế </w:t>
      </w:r>
      <w:r w:rsidRPr="003716A1">
        <w:rPr>
          <w:rFonts w:eastAsia="Times New Roman" w:cs="Times New Roman"/>
          <w:kern w:val="0"/>
          <w:szCs w:val="26"/>
          <w14:ligatures w14:val="none"/>
        </w:rPr>
        <w:t xml:space="preserve">   </w:t>
      </w:r>
    </w:p>
    <w:p w14:paraId="23B5F31B" w14:textId="77777777"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Chia sẻ rủi ro giữa người tham gia.    </w:t>
      </w:r>
    </w:p>
    <w:p w14:paraId="188D72E7" w14:textId="2DB5EA7F"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Mức đóng bảo hiểm y tế được xác định theo tỷ lệ phần trăm từ tiền lương, tiền công, hoặc mức lương tối thiểu.    </w:t>
      </w:r>
    </w:p>
    <w:p w14:paraId="43EB2F08" w14:textId="11B2B263"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Mức hưởng bảo hiểm phụ thuộc vào mức độ bệnh tật và nhóm đối tượng    </w:t>
      </w:r>
    </w:p>
    <w:p w14:paraId="6728EB1B" w14:textId="0AC44B68"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Quỹ bảo hiểm y tế cần được quản lý công khai, minh bạch và cân đối thu – chi.  </w:t>
      </w:r>
    </w:p>
    <w:p w14:paraId="771A52A1" w14:textId="3C34ABBA" w:rsidR="003716A1" w:rsidRPr="006F1CF8" w:rsidRDefault="003716A1" w:rsidP="006F1CF8">
      <w:pPr>
        <w:spacing w:afterLines="0"/>
        <w:rPr>
          <w:rFonts w:eastAsia="Times New Roman" w:cs="Times New Roman"/>
          <w:b/>
          <w:bCs/>
          <w:i/>
          <w:iCs/>
          <w:kern w:val="0"/>
          <w:szCs w:val="26"/>
          <w14:ligatures w14:val="none"/>
        </w:rPr>
      </w:pPr>
      <w:r w:rsidRPr="003716A1">
        <w:rPr>
          <w:rFonts w:eastAsia="Times New Roman" w:cs="Times New Roman"/>
          <w:b/>
          <w:bCs/>
          <w:i/>
          <w:iCs/>
          <w:kern w:val="0"/>
          <w:szCs w:val="26"/>
          <w14:ligatures w14:val="none"/>
        </w:rPr>
        <w:t xml:space="preserve">4. Chính sách của Nhà nước  </w:t>
      </w:r>
    </w:p>
    <w:p w14:paraId="19F1A18D" w14:textId="5FCB5730"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 Nhà nước có trách nhiệm đóng hoặc hỗ trợ tiền đóng bảo hiểm y tế cho các đối tượng ưu tiên như người có công với cách mạng.    </w:t>
      </w:r>
    </w:p>
    <w:p w14:paraId="7EEBA32F" w14:textId="29B2E5AA"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Khuyến khích đầu tư phát triển công nghệ trong quản lý bảo hiểm y tế, và các khoản thu từ quỹ bảo hiểm y tế sẽ được miễn thuế.  </w:t>
      </w:r>
    </w:p>
    <w:p w14:paraId="52D79F8A" w14:textId="3FE3123B" w:rsidR="003716A1" w:rsidRPr="006F1CF8" w:rsidRDefault="003716A1" w:rsidP="006F1CF8">
      <w:pPr>
        <w:spacing w:afterLines="0"/>
        <w:rPr>
          <w:rFonts w:eastAsia="Times New Roman" w:cs="Times New Roman"/>
          <w:b/>
          <w:bCs/>
          <w:i/>
          <w:iCs/>
          <w:kern w:val="0"/>
          <w:szCs w:val="26"/>
          <w14:ligatures w14:val="none"/>
        </w:rPr>
      </w:pPr>
      <w:r w:rsidRPr="003716A1">
        <w:rPr>
          <w:rFonts w:eastAsia="Times New Roman" w:cs="Times New Roman"/>
          <w:b/>
          <w:bCs/>
          <w:i/>
          <w:iCs/>
          <w:kern w:val="0"/>
          <w:szCs w:val="26"/>
          <w14:ligatures w14:val="none"/>
        </w:rPr>
        <w:t xml:space="preserve">5. Cơ quan quản lý nhà nước   </w:t>
      </w:r>
    </w:p>
    <w:p w14:paraId="4E359753" w14:textId="46B733D7"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Chính phủ thống nhất quản lý nhà nước về bảo hiểm y tế, trong đó Bộ Y tế chịu trách nhiệm chính</w:t>
      </w:r>
      <w:r>
        <w:rPr>
          <w:rFonts w:eastAsia="Times New Roman" w:cs="Times New Roman"/>
          <w:kern w:val="0"/>
          <w:szCs w:val="26"/>
          <w14:ligatures w14:val="none"/>
        </w:rPr>
        <w:t>,</w:t>
      </w:r>
    </w:p>
    <w:p w14:paraId="26E2898A" w14:textId="679773AB"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Định kỳ tổ chức kiểm tra, thanh tra các quy định và xử lý vi phạm</w:t>
      </w:r>
      <w:r>
        <w:rPr>
          <w:rFonts w:eastAsia="Times New Roman" w:cs="Times New Roman"/>
          <w:kern w:val="0"/>
          <w:szCs w:val="26"/>
          <w14:ligatures w14:val="none"/>
        </w:rPr>
        <w:t>.</w:t>
      </w:r>
    </w:p>
    <w:p w14:paraId="7C66A6AC" w14:textId="75525331" w:rsidR="003716A1" w:rsidRPr="006F1CF8" w:rsidRDefault="003716A1" w:rsidP="006F1CF8">
      <w:pPr>
        <w:spacing w:afterLines="0"/>
        <w:rPr>
          <w:rFonts w:eastAsia="Times New Roman" w:cs="Times New Roman"/>
          <w:b/>
          <w:bCs/>
          <w:i/>
          <w:iCs/>
          <w:kern w:val="0"/>
          <w:szCs w:val="26"/>
          <w14:ligatures w14:val="none"/>
        </w:rPr>
      </w:pPr>
      <w:r w:rsidRPr="003716A1">
        <w:rPr>
          <w:rFonts w:eastAsia="Times New Roman" w:cs="Times New Roman"/>
          <w:b/>
          <w:bCs/>
          <w:i/>
          <w:iCs/>
          <w:kern w:val="0"/>
          <w:szCs w:val="26"/>
          <w14:ligatures w14:val="none"/>
        </w:rPr>
        <w:t>6. Trách nhiệm cụ thể của các Bộ ngành</w:t>
      </w:r>
    </w:p>
    <w:p w14:paraId="7EC6348D" w14:textId="16ABACA4"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Bộ Y tế: Chịu trách nhiệm xây dựng chính sách, quy trình trong lĩnh vực bảo hiểm y tế, bao gồm quy định về dịch vụ kỹ thuật và thuốc thuộc phạm vi bảo hiểm.    </w:t>
      </w:r>
    </w:p>
    <w:p w14:paraId="6A6A8C4C" w14:textId="2FDF4A31"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Bộ Tài chính: Phối hợp với Bộ Y tế để xây dựng các chính sách tài chính liên quan đến bảo hiểm y tế, đảm bảo việc quản lý quỹ.  </w:t>
      </w:r>
    </w:p>
    <w:p w14:paraId="60B2CD31" w14:textId="439D1268" w:rsidR="003716A1" w:rsidRPr="006F1CF8" w:rsidRDefault="003716A1" w:rsidP="006F1CF8">
      <w:pPr>
        <w:spacing w:afterLines="0"/>
        <w:rPr>
          <w:rFonts w:eastAsia="Times New Roman" w:cs="Times New Roman"/>
          <w:b/>
          <w:bCs/>
          <w:i/>
          <w:iCs/>
          <w:kern w:val="0"/>
          <w:szCs w:val="26"/>
          <w14:ligatures w14:val="none"/>
        </w:rPr>
      </w:pPr>
      <w:r w:rsidRPr="003716A1">
        <w:rPr>
          <w:rFonts w:eastAsia="Times New Roman" w:cs="Times New Roman"/>
          <w:b/>
          <w:bCs/>
          <w:i/>
          <w:iCs/>
          <w:kern w:val="0"/>
          <w:szCs w:val="26"/>
          <w14:ligatures w14:val="none"/>
        </w:rPr>
        <w:t>7. Quyền và nghĩa vụ của người tham gia</w:t>
      </w:r>
    </w:p>
    <w:p w14:paraId="692C56E6" w14:textId="1D646B43" w:rsidR="003716A1" w:rsidRDefault="003716A1" w:rsidP="006F1CF8">
      <w:pPr>
        <w:spacing w:afterLines="0"/>
        <w:rPr>
          <w:rFonts w:eastAsia="Times New Roman" w:cs="Times New Roman"/>
          <w:kern w:val="0"/>
          <w:szCs w:val="26"/>
          <w14:ligatures w14:val="none"/>
        </w:rPr>
      </w:pPr>
      <w:r w:rsidRPr="003716A1">
        <w:rPr>
          <w:rFonts w:eastAsia="Times New Roman" w:cs="Times New Roman"/>
          <w:kern w:val="0"/>
          <w:szCs w:val="26"/>
          <w14:ligatures w14:val="none"/>
        </w:rPr>
        <w:t xml:space="preserve">- Người tham gia bảo hiểm y tế có quyền được hưởng quyền lợi theo quy định và nghĩa vụ đóng bảo hiểm đúng hạn. </w:t>
      </w:r>
      <w:bookmarkEnd w:id="0"/>
    </w:p>
    <w:p w14:paraId="59844C2D" w14:textId="7BD7FEA3" w:rsidR="003716A1" w:rsidRPr="006F1CF8" w:rsidRDefault="003716A1" w:rsidP="006F1CF8">
      <w:pPr>
        <w:spacing w:afterLines="0"/>
        <w:rPr>
          <w:b/>
          <w:bCs/>
          <w:i/>
          <w:iCs/>
          <w:sz w:val="36"/>
          <w:szCs w:val="32"/>
        </w:rPr>
      </w:pPr>
      <w:r w:rsidRPr="006F1CF8">
        <w:rPr>
          <w:b/>
          <w:bCs/>
          <w:i/>
          <w:iCs/>
          <w:sz w:val="36"/>
          <w:szCs w:val="32"/>
        </w:rPr>
        <w:t xml:space="preserve">Luật sửa đổi, bổ sung một số điều của Luật bảo hiểm y tế số 46/2014/QH13  </w:t>
      </w:r>
    </w:p>
    <w:p w14:paraId="7C45A703" w14:textId="5CB03D34" w:rsidR="003716A1" w:rsidRPr="006F1CF8" w:rsidRDefault="003716A1" w:rsidP="006F1CF8">
      <w:pPr>
        <w:spacing w:afterLines="0"/>
        <w:rPr>
          <w:b/>
          <w:bCs/>
          <w:i/>
          <w:iCs/>
        </w:rPr>
      </w:pPr>
      <w:r w:rsidRPr="006F1CF8">
        <w:rPr>
          <w:b/>
          <w:bCs/>
          <w:i/>
          <w:iCs/>
        </w:rPr>
        <w:t>1. Mục đích và phạm vi</w:t>
      </w:r>
    </w:p>
    <w:p w14:paraId="045BD47E" w14:textId="063B754A" w:rsidR="003716A1" w:rsidRDefault="003716A1" w:rsidP="006F1CF8">
      <w:pPr>
        <w:spacing w:afterLines="0"/>
      </w:pPr>
      <w:r>
        <w:lastRenderedPageBreak/>
        <w:t xml:space="preserve">- Luật 46/2014/QH13 được ban hành với mục đích sửa đổi, bổ sung một số điều của Luật bảo hiểm y tế số 25/2008/QH12 nhằm nâng cao hiệu quả của hệ thống bảo hiểm y tế, đảm bảo quyền lợi cho người tham gia và phát triển quỹ bảo hiểm y tế.  </w:t>
      </w:r>
    </w:p>
    <w:p w14:paraId="053BDE1B" w14:textId="305AB2A0" w:rsidR="003716A1" w:rsidRPr="006F1CF8" w:rsidRDefault="003716A1" w:rsidP="006F1CF8">
      <w:pPr>
        <w:spacing w:afterLines="0"/>
        <w:rPr>
          <w:b/>
          <w:bCs/>
          <w:i/>
          <w:iCs/>
        </w:rPr>
      </w:pPr>
      <w:r w:rsidRPr="006F1CF8">
        <w:rPr>
          <w:b/>
          <w:bCs/>
          <w:i/>
          <w:iCs/>
        </w:rPr>
        <w:t>2. Định nghĩa và khái niệm</w:t>
      </w:r>
    </w:p>
    <w:p w14:paraId="5B382CAB" w14:textId="11DBC24D" w:rsidR="003716A1" w:rsidRDefault="003716A1" w:rsidP="006F1CF8">
      <w:pPr>
        <w:spacing w:afterLines="0"/>
      </w:pPr>
      <w:r>
        <w:t xml:space="preserve">- Bảo hiểm y tế: Được xác định là hình thức bảo hiểm bắt buộc cho các đối tượng theo quy định của Luật để chăm sóc sức khỏe, không vì mục đích lợi nhuận.    </w:t>
      </w:r>
    </w:p>
    <w:p w14:paraId="1A958615" w14:textId="0F0739B6" w:rsidR="003716A1" w:rsidRDefault="003716A1" w:rsidP="006F1CF8">
      <w:pPr>
        <w:spacing w:afterLines="0"/>
      </w:pPr>
      <w:r>
        <w:t xml:space="preserve">- Hộ gia đình tham gia bảo hiểm y tế: Bao gồm toàn bộ người có tên trong sổ hộ khẩu hoặc sổ tạm trú.    </w:t>
      </w:r>
    </w:p>
    <w:p w14:paraId="0687DDBD" w14:textId="0EE45FF7" w:rsidR="003716A1" w:rsidRDefault="003716A1" w:rsidP="006F1CF8">
      <w:pPr>
        <w:spacing w:afterLines="0"/>
      </w:pPr>
      <w:r>
        <w:t xml:space="preserve">- Gói dịch vụ y tế cơ bản: Được quỹ bảo hiểm y tế chi trả, bao gồm những dịch vụ y tế thiết yếu cho chăm sóc sức khỏe.  </w:t>
      </w:r>
    </w:p>
    <w:p w14:paraId="0B7BD905" w14:textId="18095CBC" w:rsidR="003716A1" w:rsidRPr="006F1CF8" w:rsidRDefault="003716A1" w:rsidP="006F1CF8">
      <w:pPr>
        <w:spacing w:afterLines="0"/>
        <w:rPr>
          <w:b/>
          <w:bCs/>
          <w:i/>
          <w:iCs/>
        </w:rPr>
      </w:pPr>
      <w:r w:rsidRPr="006F1CF8">
        <w:rPr>
          <w:b/>
          <w:bCs/>
          <w:i/>
          <w:iCs/>
        </w:rPr>
        <w:t>3. Sửa đổi các điều khoản quan trọng</w:t>
      </w:r>
    </w:p>
    <w:p w14:paraId="4BC0D16A" w14:textId="0AB709CF" w:rsidR="003716A1" w:rsidRDefault="003716A1" w:rsidP="006F1CF8">
      <w:pPr>
        <w:spacing w:afterLines="0"/>
      </w:pPr>
      <w:r>
        <w:t xml:space="preserve">- Mức đóng bảo hiểm y tế: Được xác định theo tỷ lệ phần trăm của tiền lương làm căn cứ đóng bảo hiểm xã hội, tiền lương hưu hoặc mức lương cơ sở.    </w:t>
      </w:r>
    </w:p>
    <w:p w14:paraId="641427F8" w14:textId="3843B813" w:rsidR="003716A1" w:rsidRDefault="003716A1" w:rsidP="006F1CF8">
      <w:pPr>
        <w:spacing w:afterLines="0"/>
      </w:pPr>
      <w:r>
        <w:t xml:space="preserve">- Mức hưởng bảo hiểm: Mức hưởng bảo hiểm y tế được điều chỉnh theo nhóm đối tượng và mức độ bệnh tật.  </w:t>
      </w:r>
    </w:p>
    <w:p w14:paraId="7B3217DD" w14:textId="547BE2D3" w:rsidR="003716A1" w:rsidRPr="006F1CF8" w:rsidRDefault="003716A1" w:rsidP="006F1CF8">
      <w:pPr>
        <w:spacing w:afterLines="0"/>
        <w:rPr>
          <w:b/>
          <w:bCs/>
          <w:i/>
          <w:iCs/>
        </w:rPr>
      </w:pPr>
      <w:r w:rsidRPr="006F1CF8">
        <w:rPr>
          <w:b/>
          <w:bCs/>
          <w:i/>
          <w:iCs/>
        </w:rPr>
        <w:t>4. Quy định về trách nhiệm của các bộ ngành</w:t>
      </w:r>
    </w:p>
    <w:p w14:paraId="31B4C162" w14:textId="79704A5E" w:rsidR="003716A1" w:rsidRDefault="003716A1" w:rsidP="006F1CF8">
      <w:pPr>
        <w:spacing w:afterLines="0"/>
      </w:pPr>
      <w:r>
        <w:t xml:space="preserve">- Bộ Lao động - Thương binh và Xã hội: Có trách nhiệm xác định, quản lý đối tượng tham gia và thanh tra việc thực hiện quy định tham gia bảo hiểm y tế.    </w:t>
      </w:r>
    </w:p>
    <w:p w14:paraId="00228E27" w14:textId="6CC5601A" w:rsidR="003716A1" w:rsidRDefault="003716A1" w:rsidP="006F1CF8">
      <w:pPr>
        <w:spacing w:afterLines="0"/>
      </w:pPr>
      <w:r>
        <w:t xml:space="preserve">- Bộ Giáo dục và Đào tạo: Phối hợp với Bộ Y tế để xây dựng hệ thống y tế trường học nhằm chăm sóc sức khỏe cho học sinh, sinh viên.    </w:t>
      </w:r>
    </w:p>
    <w:p w14:paraId="77A78A44" w14:textId="2D790D29" w:rsidR="003716A1" w:rsidRDefault="003716A1" w:rsidP="006F1CF8">
      <w:pPr>
        <w:spacing w:afterLines="0"/>
      </w:pPr>
      <w:r>
        <w:t xml:space="preserve">- Bộ Quốc phòng và Bộ Công an: Chịu trách nhiệm quản lý bảo hiểm y tế cho các đối tượng thuộc phạm vi mình quản lý, lập danh sách tham gia và thanh tra thực hiện.  </w:t>
      </w:r>
    </w:p>
    <w:p w14:paraId="42058268" w14:textId="1666D2AE" w:rsidR="003716A1" w:rsidRPr="006F1CF8" w:rsidRDefault="003716A1" w:rsidP="006F1CF8">
      <w:pPr>
        <w:spacing w:afterLines="0"/>
        <w:rPr>
          <w:b/>
          <w:bCs/>
          <w:i/>
          <w:iCs/>
        </w:rPr>
      </w:pPr>
      <w:r w:rsidRPr="006F1CF8">
        <w:rPr>
          <w:b/>
          <w:bCs/>
          <w:i/>
          <w:iCs/>
        </w:rPr>
        <w:t>5. Quy định về Ủy ban nhân dân các cấp</w:t>
      </w:r>
    </w:p>
    <w:p w14:paraId="1370BCBA" w14:textId="042EA999" w:rsidR="003716A1" w:rsidRDefault="003716A1" w:rsidP="006F1CF8">
      <w:pPr>
        <w:spacing w:afterLines="0"/>
      </w:pPr>
      <w:r>
        <w:t xml:space="preserve">- Ủy ban nhân dân tỉnh, thành phố có trách nhiệm chỉ đạo việc lập danh sách tham gia bảo hiểm y tế tại địa phương và quản lý kinh phí.    </w:t>
      </w:r>
    </w:p>
    <w:p w14:paraId="7E2654A5" w14:textId="157BE609" w:rsidR="003716A1" w:rsidRDefault="003716A1" w:rsidP="006F1CF8">
      <w:pPr>
        <w:spacing w:afterLines="0"/>
      </w:pPr>
      <w:r>
        <w:t xml:space="preserve">- Ủy ban nhân dân cấp xã cần lập danh sách tham gia bảo hiểm y tế cho các đối tượng và đề nghị cấp thẻ bảo hiểm y tế.  </w:t>
      </w:r>
    </w:p>
    <w:p w14:paraId="4462F933" w14:textId="46CEF1A2" w:rsidR="003716A1" w:rsidRPr="006F1CF8" w:rsidRDefault="003716A1" w:rsidP="006F1CF8">
      <w:pPr>
        <w:spacing w:afterLines="0"/>
        <w:rPr>
          <w:b/>
          <w:bCs/>
          <w:i/>
          <w:iCs/>
        </w:rPr>
      </w:pPr>
      <w:r w:rsidRPr="006F1CF8">
        <w:rPr>
          <w:b/>
          <w:bCs/>
          <w:i/>
          <w:iCs/>
        </w:rPr>
        <w:t>6. Điều chỉnh đối tượng tham gia bảo hiểm y tế</w:t>
      </w:r>
    </w:p>
    <w:p w14:paraId="13E0F5D0" w14:textId="69AC4D8B" w:rsidR="003716A1" w:rsidRDefault="003716A1" w:rsidP="006F1CF8">
      <w:pPr>
        <w:spacing w:afterLines="0"/>
      </w:pPr>
      <w:r>
        <w:lastRenderedPageBreak/>
        <w:t xml:space="preserve">- Luật xác định rõ nhóm đối tượng tham gia bảo hiểm y tế, bao gồm người lao động, cán bộ, công chức, viên chức, và các nhóm khác như người hưởng lương hưu và trợ cấp.   </w:t>
      </w:r>
    </w:p>
    <w:p w14:paraId="2BE2D8EB" w14:textId="77777777" w:rsidR="006F1CF8" w:rsidRPr="006F1CF8" w:rsidRDefault="003716A1" w:rsidP="006F1CF8">
      <w:pPr>
        <w:spacing w:afterLines="0"/>
        <w:rPr>
          <w:b/>
          <w:bCs/>
          <w:i/>
          <w:iCs/>
          <w:sz w:val="36"/>
          <w:szCs w:val="32"/>
        </w:rPr>
      </w:pPr>
      <w:r w:rsidRPr="006F1CF8">
        <w:rPr>
          <w:b/>
          <w:bCs/>
          <w:i/>
          <w:iCs/>
          <w:sz w:val="36"/>
          <w:szCs w:val="32"/>
        </w:rPr>
        <w:t xml:space="preserve">Kết luận </w:t>
      </w:r>
    </w:p>
    <w:p w14:paraId="63083693" w14:textId="76BAF950" w:rsidR="006F1CF8" w:rsidRDefault="006F1CF8" w:rsidP="006F1CF8">
      <w:pPr>
        <w:spacing w:afterLines="0"/>
      </w:pPr>
      <w:r w:rsidRPr="003716A1">
        <w:rPr>
          <w:rFonts w:eastAsia="Times New Roman" w:cs="Times New Roman"/>
          <w:kern w:val="0"/>
          <w:szCs w:val="26"/>
          <w14:ligatures w14:val="none"/>
        </w:rPr>
        <w:t>Luật bảo hiểm y tế không chỉ là công cụ bảo đảm quyền lợi sức khỏe cho người dân mà còn thể hiện sự cam kết của Nhà nước trong việc chăm sóc sức khỏe cộng đồng</w:t>
      </w:r>
      <w:r>
        <w:rPr>
          <w:rFonts w:eastAsia="Times New Roman" w:cs="Times New Roman"/>
          <w:kern w:val="0"/>
          <w:szCs w:val="26"/>
          <w14:ligatures w14:val="none"/>
        </w:rPr>
        <w:t>.</w:t>
      </w:r>
      <w:r>
        <w:t xml:space="preserve"> </w:t>
      </w:r>
    </w:p>
    <w:p w14:paraId="5FF3FA28" w14:textId="7DFB6573" w:rsidR="003716A1" w:rsidRDefault="003716A1" w:rsidP="006F1CF8">
      <w:pPr>
        <w:spacing w:afterLines="0"/>
      </w:pPr>
      <w:r>
        <w:t xml:space="preserve">Luật sửa đổi, bổ sung một số điều của Luật bảo hiểm y tế số 46/2014/QH13 là một bước tiến quan trọng trong việc cải cách hệ thống bảo hiểm y tế tại Việt Nam, với mục tiêu làm rõ trách nhiệm của các bên liên quan và nâng cao quyền lợi cho người dân. </w:t>
      </w:r>
    </w:p>
    <w:bookmarkEnd w:id="1"/>
    <w:p w14:paraId="131CC541" w14:textId="77777777" w:rsidR="003716A1" w:rsidRPr="003716A1" w:rsidRDefault="003716A1" w:rsidP="006F1CF8">
      <w:pPr>
        <w:spacing w:afterLines="0"/>
      </w:pPr>
    </w:p>
    <w:sectPr w:rsidR="003716A1" w:rsidRPr="003716A1" w:rsidSect="003716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0F7B9" w14:textId="77777777" w:rsidR="00351441" w:rsidRDefault="00351441" w:rsidP="006F1CF8">
      <w:pPr>
        <w:spacing w:after="288" w:line="240" w:lineRule="auto"/>
      </w:pPr>
      <w:r>
        <w:separator/>
      </w:r>
    </w:p>
  </w:endnote>
  <w:endnote w:type="continuationSeparator" w:id="0">
    <w:p w14:paraId="66B1068A" w14:textId="77777777" w:rsidR="00351441" w:rsidRDefault="00351441" w:rsidP="006F1CF8">
      <w:pPr>
        <w:spacing w:after="28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3395" w14:textId="77777777" w:rsidR="006F1CF8" w:rsidRDefault="006F1CF8">
    <w:pPr>
      <w:pStyle w:val="Chntrang"/>
      <w:spacing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27AC" w14:textId="77777777" w:rsidR="006F1CF8" w:rsidRDefault="006F1CF8">
    <w:pPr>
      <w:pStyle w:val="Chntrang"/>
      <w:spacing w:after="2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18DD7" w14:textId="77777777" w:rsidR="006F1CF8" w:rsidRDefault="006F1CF8">
    <w:pPr>
      <w:pStyle w:val="Chntrang"/>
      <w:spacing w:after="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D0D0" w14:textId="77777777" w:rsidR="00351441" w:rsidRDefault="00351441" w:rsidP="006F1CF8">
      <w:pPr>
        <w:spacing w:after="288" w:line="240" w:lineRule="auto"/>
      </w:pPr>
      <w:r>
        <w:separator/>
      </w:r>
    </w:p>
  </w:footnote>
  <w:footnote w:type="continuationSeparator" w:id="0">
    <w:p w14:paraId="4BD4A67D" w14:textId="77777777" w:rsidR="00351441" w:rsidRDefault="00351441" w:rsidP="006F1CF8">
      <w:pPr>
        <w:spacing w:after="28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9E845" w14:textId="77777777" w:rsidR="006F1CF8" w:rsidRDefault="006F1CF8">
    <w:pPr>
      <w:pStyle w:val="utrang"/>
      <w:spacing w:after="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C83E3" w14:textId="77777777" w:rsidR="006F1CF8" w:rsidRDefault="006F1CF8">
    <w:pPr>
      <w:pStyle w:val="utrang"/>
      <w:spacing w:after="2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FFCB" w14:textId="77777777" w:rsidR="006F1CF8" w:rsidRDefault="006F1CF8">
    <w:pPr>
      <w:pStyle w:val="utrang"/>
      <w:spacing w:after="2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2A"/>
    <w:rsid w:val="001A6CBD"/>
    <w:rsid w:val="001F5873"/>
    <w:rsid w:val="00351441"/>
    <w:rsid w:val="003716A1"/>
    <w:rsid w:val="006F1CF8"/>
    <w:rsid w:val="007D7883"/>
    <w:rsid w:val="00AE657C"/>
    <w:rsid w:val="00C12B7E"/>
    <w:rsid w:val="00E31F2A"/>
    <w:rsid w:val="00FA5A50"/>
    <w:rsid w:val="00FD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6CB9"/>
  <w15:chartTrackingRefBased/>
  <w15:docId w15:val="{6EBEC201-A2A9-4037-8CE2-B3466BD6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Lines="120"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B7E"/>
    <w:rPr>
      <w:rFonts w:ascii="Times New Roman" w:hAnsi="Times New Roman"/>
      <w:sz w:val="26"/>
    </w:rPr>
  </w:style>
  <w:style w:type="paragraph" w:styleId="u1">
    <w:name w:val="heading 1"/>
    <w:basedOn w:val="Binhthng"/>
    <w:next w:val="Binhthng"/>
    <w:link w:val="u1Char"/>
    <w:autoRedefine/>
    <w:uiPriority w:val="9"/>
    <w:qFormat/>
    <w:rsid w:val="00C12B7E"/>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C12B7E"/>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uiPriority w:val="9"/>
    <w:semiHidden/>
    <w:unhideWhenUsed/>
    <w:qFormat/>
    <w:rsid w:val="00E31F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E31F2A"/>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E31F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31F2A"/>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31F2A"/>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31F2A"/>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utoRedefine/>
    <w:uiPriority w:val="1"/>
    <w:qFormat/>
    <w:rsid w:val="00C12B7E"/>
    <w:pPr>
      <w:spacing w:after="0" w:line="240" w:lineRule="auto"/>
    </w:pPr>
    <w:rPr>
      <w:rFonts w:ascii="Times New Roman" w:hAnsi="Times New Roman"/>
      <w:sz w:val="26"/>
    </w:rPr>
  </w:style>
  <w:style w:type="character" w:customStyle="1" w:styleId="u1Char">
    <w:name w:val="Đầu đề 1 Char"/>
    <w:basedOn w:val="Phngmcinhcuaoanvn"/>
    <w:link w:val="u1"/>
    <w:uiPriority w:val="9"/>
    <w:rsid w:val="00C12B7E"/>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C12B7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C12B7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E31F2A"/>
    <w:rPr>
      <w:rFonts w:eastAsiaTheme="majorEastAsia" w:cstheme="majorBidi"/>
      <w:i/>
      <w:iCs/>
      <w:color w:val="2E74B5" w:themeColor="accent1" w:themeShade="BF"/>
      <w:sz w:val="26"/>
    </w:rPr>
  </w:style>
  <w:style w:type="character" w:customStyle="1" w:styleId="u5Char">
    <w:name w:val="Đầu đề 5 Char"/>
    <w:basedOn w:val="Phngmcinhcuaoanvn"/>
    <w:link w:val="u5"/>
    <w:uiPriority w:val="9"/>
    <w:semiHidden/>
    <w:rsid w:val="00E31F2A"/>
    <w:rPr>
      <w:rFonts w:eastAsiaTheme="majorEastAsia" w:cstheme="majorBidi"/>
      <w:color w:val="2E74B5" w:themeColor="accent1" w:themeShade="BF"/>
      <w:sz w:val="26"/>
    </w:rPr>
  </w:style>
  <w:style w:type="character" w:customStyle="1" w:styleId="u6Char">
    <w:name w:val="Đầu đề 6 Char"/>
    <w:basedOn w:val="Phngmcinhcuaoanvn"/>
    <w:link w:val="u6"/>
    <w:uiPriority w:val="9"/>
    <w:semiHidden/>
    <w:rsid w:val="00E31F2A"/>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E31F2A"/>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E31F2A"/>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E31F2A"/>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E31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1F2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1F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1F2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1F2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31F2A"/>
    <w:rPr>
      <w:rFonts w:ascii="Times New Roman" w:hAnsi="Times New Roman"/>
      <w:i/>
      <w:iCs/>
      <w:color w:val="404040" w:themeColor="text1" w:themeTint="BF"/>
      <w:sz w:val="26"/>
    </w:rPr>
  </w:style>
  <w:style w:type="paragraph" w:styleId="oancuaDanhsach">
    <w:name w:val="List Paragraph"/>
    <w:basedOn w:val="Binhthng"/>
    <w:uiPriority w:val="34"/>
    <w:qFormat/>
    <w:rsid w:val="00E31F2A"/>
    <w:pPr>
      <w:ind w:left="720"/>
      <w:contextualSpacing/>
    </w:pPr>
  </w:style>
  <w:style w:type="character" w:styleId="NhnmnhThm">
    <w:name w:val="Intense Emphasis"/>
    <w:basedOn w:val="Phngmcinhcuaoanvn"/>
    <w:uiPriority w:val="21"/>
    <w:qFormat/>
    <w:rsid w:val="00E31F2A"/>
    <w:rPr>
      <w:i/>
      <w:iCs/>
      <w:color w:val="2E74B5" w:themeColor="accent1" w:themeShade="BF"/>
    </w:rPr>
  </w:style>
  <w:style w:type="paragraph" w:styleId="Nhaykepm">
    <w:name w:val="Intense Quote"/>
    <w:basedOn w:val="Binhthng"/>
    <w:next w:val="Binhthng"/>
    <w:link w:val="NhaykepmChar"/>
    <w:uiPriority w:val="30"/>
    <w:qFormat/>
    <w:rsid w:val="00E31F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E31F2A"/>
    <w:rPr>
      <w:rFonts w:ascii="Times New Roman" w:hAnsi="Times New Roman"/>
      <w:i/>
      <w:iCs/>
      <w:color w:val="2E74B5" w:themeColor="accent1" w:themeShade="BF"/>
      <w:sz w:val="26"/>
    </w:rPr>
  </w:style>
  <w:style w:type="character" w:styleId="ThamchiuNhnmnh">
    <w:name w:val="Intense Reference"/>
    <w:basedOn w:val="Phngmcinhcuaoanvn"/>
    <w:uiPriority w:val="32"/>
    <w:qFormat/>
    <w:rsid w:val="00E31F2A"/>
    <w:rPr>
      <w:b/>
      <w:bCs/>
      <w:smallCaps/>
      <w:color w:val="2E74B5" w:themeColor="accent1" w:themeShade="BF"/>
      <w:spacing w:val="5"/>
    </w:rPr>
  </w:style>
  <w:style w:type="paragraph" w:styleId="utrang">
    <w:name w:val="header"/>
    <w:basedOn w:val="Binhthng"/>
    <w:link w:val="utrangChar"/>
    <w:uiPriority w:val="99"/>
    <w:unhideWhenUsed/>
    <w:rsid w:val="006F1C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F1CF8"/>
    <w:rPr>
      <w:rFonts w:ascii="Times New Roman" w:hAnsi="Times New Roman"/>
      <w:sz w:val="26"/>
    </w:rPr>
  </w:style>
  <w:style w:type="paragraph" w:styleId="Chntrang">
    <w:name w:val="footer"/>
    <w:basedOn w:val="Binhthng"/>
    <w:link w:val="ChntrangChar"/>
    <w:uiPriority w:val="99"/>
    <w:unhideWhenUsed/>
    <w:rsid w:val="006F1C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F1CF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BCB6-C589-40F6-8C5F-90A49944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732</Words>
  <Characters>4179</Characters>
  <Application>Microsoft Office Word</Application>
  <DocSecurity>0</DocSecurity>
  <Lines>34</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Tri</dc:creator>
  <cp:keywords/>
  <dc:description/>
  <cp:lastModifiedBy>Pham Minh Tri</cp:lastModifiedBy>
  <cp:revision>4</cp:revision>
  <dcterms:created xsi:type="dcterms:W3CDTF">2024-08-15T14:49:00Z</dcterms:created>
  <dcterms:modified xsi:type="dcterms:W3CDTF">2024-08-16T11:39:00Z</dcterms:modified>
</cp:coreProperties>
</file>